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1：</w:t>
      </w:r>
    </w:p>
    <w:p>
      <w:pPr>
        <w:spacing w:line="400" w:lineRule="exact"/>
        <w:jc w:val="center"/>
        <w:rPr>
          <w:rFonts w:hint="default" w:ascii="Times New Roman" w:hAnsi="Times New Roman" w:cs="Times New Roman"/>
          <w:b/>
          <w:bCs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湖州学院教师学生工作量计算办法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汇总表（试行）</w:t>
      </w:r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775"/>
        <w:gridCol w:w="2588"/>
        <w:gridCol w:w="6003"/>
        <w:gridCol w:w="4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4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atLeast"/>
              <w:jc w:val="center"/>
              <w:rPr>
                <w:rFonts w:hint="default" w:ascii="Times New Roman" w:hAnsi="Times New Roman" w:eastAsia="黑体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szCs w:val="21"/>
              </w:rPr>
              <w:t>项目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学生工作主要内容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eastAsia" w:eastAsia="黑体" w:cs="Times New Roman"/>
                <w:szCs w:val="21"/>
                <w:lang w:eastAsia="zh-CN"/>
              </w:rPr>
              <w:t>工作量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计算标准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班主任工作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5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完成班主任工作管理办法中规定的任务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每学期计35个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本科生导师工作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05" w:rightChars="5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完成本科生导师工作实施办法中规定的任务。由学院聘请教授、副教授或博士担任本科生导师，每周定期对学生的学业、个性化培养等进行指导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83" w:hanging="156" w:hangingChars="87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每生每学期计4个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指导学生暑期社会实践、招生宣传工作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带队指导学院组织的学生社会实践、招生宣传，以实际带队天数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每天计3个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指导学生社团工作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学院聘请担任社团指导教师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每学期每个社团计8个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担任学生心理健康咨询师、职业生涯咨询工作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学院安排的心理健康咨询、职业生涯咨询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每天计2个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举办思想政治教育等专题报告或讲座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学院聘请担任始业教育、专业教育、党校、团校、专题报告等主讲人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每次计2个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非班主任、本科生导师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指导学生考研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担任学生考研指导教师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每生每学期2个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；若考研成功每生4个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  <w:t>指导学生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创业就业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成功帮助学生推荐就业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每生4个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18"/>
                <w:szCs w:val="18"/>
              </w:rPr>
              <w:t>指导学生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科技创新活动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指导学生参加大学生学科竞赛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省级以下参与每项计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获奖每项计4个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；省级参与每项计4个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，获奖每项计8个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；国家级参与每项计8个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</w:rPr>
              <w:t>，获奖计16个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color w:val="auto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val="en-US" w:eastAsia="zh-CN"/>
              </w:rPr>
              <w:t>同竞赛不重复计，就高计算原则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  <w:t>担任学生寝室联系人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学院安排的学生寝室联系人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每学期每个寝室到寝室指导至少2次，计2个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</w:trPr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3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其他学生工作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学院安排的学生党建联系人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每学期每生至少谈话2次，计2个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3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学院安排的与贫困生结对者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每学期每生至少谈话2次，计2个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336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学院聘请担任学生活动评委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每场次计2个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特色学生工作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需要教师本人提出申请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学院进行统一认定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学生工作获奖情况</w:t>
            </w:r>
          </w:p>
        </w:tc>
        <w:tc>
          <w:tcPr>
            <w:tcW w:w="6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优秀班主任、就业先进个人、招生先进个人、优秀社团指导老师、优秀社会实践指导老师、学科竞赛优秀指导老师等</w:t>
            </w:r>
          </w:p>
        </w:tc>
        <w:tc>
          <w:tcPr>
            <w:tcW w:w="4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校级、市级每项计10个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；省部级每项计15个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；国家级每项计20个</w:t>
            </w: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 w:eastAsia="仿宋_GB2312" w:cs="Times New Roman"/>
                <w:sz w:val="18"/>
                <w:szCs w:val="18"/>
                <w:lang w:eastAsia="zh-CN"/>
              </w:rPr>
              <w:t>工作量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_GB2312"/>
          <w:spacing w:val="-4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E00D7"/>
    <w:rsid w:val="49C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2022-12-02T03:01:00Z</dcterms:created>
  <dc:creator>美好时光</dc:creator>
  <cp:lastModifiedBy>美好时光</cp:lastModifiedBy>
  <dcterms:modified xsi:type="dcterms:W3CDTF">2022-12-02T03:02:16Z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